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66666"/>
          <w:sz w:val="18"/>
        </w:rPr>
        <w:t>Образец подготовлен агентством «Акцент на результат» в октябре 2026 года по действующей на эту дату редакции законов. Это не юридическая консультация: адаптируйте документ под свой бизнес, удалите неподходящие пункты и покажите юристу. Поля в [квадратных скобках] замените своими данными.</w:t>
      </w:r>
    </w:p>
    <w:p>
      <w:pPr>
        <w:pStyle w:val="Heading1"/>
        <w:jc w:val="center"/>
      </w:pPr>
      <w:r>
        <w:t>Политика в отношении обработки персональных данных</w:t>
      </w:r>
    </w:p>
    <w:p>
      <w:r>
        <w:t>Редакция от [дата]. Опубликовано по адресу: [ссылка на страницу сайта].</w:t>
      </w:r>
    </w:p>
    <w:p>
      <w:pPr>
        <w:pStyle w:val="Heading2"/>
      </w:pPr>
      <w:r>
        <w:t>1. Общие положения</w:t>
      </w:r>
    </w:p>
    <w:p>
      <w:r>
        <w:t>1.1. Настоящая Политика определяет порядок обработки и меры по защите персональных данных, которые обрабатывает оператор — [Полное наименование организации / ФИО индивидуального предпринимателя], ОГРН [ ], ИНН [ ], адрес: [адрес места нахождения], email: [email], телефон: [телефон] (далее — Оператор), в том числе при использовании сайта [адрес сайта] (далее — Сайт).</w:t>
      </w:r>
    </w:p>
    <w:p>
      <w:r>
        <w:t>1.2. Политика разработана в соответствии с Федеральным законом от 27.07.2006 № 152-ФЗ «О персональных данных» (далее — Закон) и опубликована на страницах Сайта, с помощью которых собираются персональные данные (ч. 2 ст. 18.1 Закона).</w:t>
      </w:r>
    </w:p>
    <w:p>
      <w:r>
        <w:t>1.3. Оператор внесен в реестр операторов, осуществляющих обработку персональных данных: регистрационный номер [номер] (уведомление подано в Роскомнадзор до начала обработки — ст. 22 Закона).</w:t>
      </w:r>
    </w:p>
    <w:p>
      <w:pPr>
        <w:pStyle w:val="Heading2"/>
      </w:pPr>
      <w:r>
        <w:t>2. Основные понятия</w:t>
      </w:r>
    </w:p>
    <w:p>
      <w:pPr>
        <w:pStyle w:val="ListBullet"/>
      </w:pPr>
      <w:r>
        <w:t>Персональные данные — любая информация, относящаяся прямо или косвенно к определенному или определяемому физическому лицу (субъекту персональных данных).</w:t>
      </w:r>
    </w:p>
    <w:p>
      <w:pPr>
        <w:pStyle w:val="ListBullet"/>
      </w:pPr>
      <w:r>
        <w:t>Обработка персональных данных — любое действие (операция) или совокупность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>
      <w:pPr>
        <w:pStyle w:val="ListBullet"/>
      </w:pPr>
      <w:r>
        <w:t>Пользователь — физическое лицо, которое пользуется Сайтом.</w:t>
      </w:r>
    </w:p>
    <w:p>
      <w:pPr>
        <w:pStyle w:val="ListBullet"/>
      </w:pPr>
      <w:r>
        <w:t>Cookie — небольшие фрагменты данных, которые Сайт сохраняет в браузере Пользователя.</w:t>
      </w:r>
    </w:p>
    <w:p>
      <w:pPr>
        <w:pStyle w:val="Heading2"/>
      </w:pPr>
      <w:r>
        <w:t>3. Правовые основания обработки</w:t>
      </w:r>
    </w:p>
    <w:p>
      <w:pPr>
        <w:pStyle w:val="ListBullet"/>
      </w:pPr>
      <w:r>
        <w:t>согласие субъекта персональных данных (п. 1 ч. 1 ст. 6 Закона);</w:t>
      </w:r>
    </w:p>
    <w:p>
      <w:pPr>
        <w:pStyle w:val="ListBullet"/>
      </w:pPr>
      <w:r>
        <w:t>заключение и исполнение договора, стороной которого является субъект персональных данных (п. 5 ч. 1 ст. 6 Закона);</w:t>
      </w:r>
    </w:p>
    <w:p>
      <w:pPr>
        <w:pStyle w:val="ListBullet"/>
      </w:pPr>
      <w:r>
        <w:t>исполнение обязанностей, возложенных на Оператора законодательством РФ (п. 2 ч. 1 ст. 6 Закона);</w:t>
      </w:r>
    </w:p>
    <w:p>
      <w:pPr>
        <w:pStyle w:val="ListBullet"/>
      </w:pPr>
      <w:r>
        <w:t>[иные основания — при наличии].</w:t>
      </w:r>
    </w:p>
    <w:p>
      <w:pPr>
        <w:pStyle w:val="Heading2"/>
      </w:pPr>
      <w:r>
        <w:t>4. Цели, категории и перечень обрабатываемых данных, сроки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Цель</w:t>
            </w:r>
          </w:p>
        </w:tc>
        <w:tc>
          <w:tcPr>
            <w:tcW w:type="dxa" w:w="1728"/>
          </w:tcPr>
          <w:p>
            <w:r>
              <w:rPr>
                <w:b/>
              </w:rPr>
              <w:t>Категории субъектов</w:t>
            </w:r>
          </w:p>
        </w:tc>
        <w:tc>
          <w:tcPr>
            <w:tcW w:type="dxa" w:w="1728"/>
          </w:tcPr>
          <w:p>
            <w:r>
              <w:rPr>
                <w:b/>
              </w:rPr>
              <w:t>Персональные данные</w:t>
            </w:r>
          </w:p>
        </w:tc>
        <w:tc>
          <w:tcPr>
            <w:tcW w:type="dxa" w:w="1728"/>
          </w:tcPr>
          <w:p>
            <w:r>
              <w:rPr>
                <w:b/>
              </w:rPr>
              <w:t>Основание</w:t>
            </w:r>
          </w:p>
        </w:tc>
        <w:tc>
          <w:tcPr>
            <w:tcW w:type="dxa" w:w="1728"/>
          </w:tcPr>
          <w:p>
            <w:r>
              <w:rPr>
                <w:b/>
              </w:rPr>
              <w:t>Срок обработки</w:t>
            </w:r>
          </w:p>
        </w:tc>
      </w:tr>
      <w:tr>
        <w:tc>
          <w:tcPr>
            <w:tcW w:type="dxa" w:w="1728"/>
          </w:tcPr>
          <w:p>
            <w:r>
              <w:t>Обработка заявок и обращений с Сайта</w:t>
            </w:r>
          </w:p>
        </w:tc>
        <w:tc>
          <w:tcPr>
            <w:tcW w:type="dxa" w:w="1728"/>
          </w:tcPr>
          <w:p>
            <w:r>
              <w:t>Пользователи, оставившие заявку</w:t>
            </w:r>
          </w:p>
        </w:tc>
        <w:tc>
          <w:tcPr>
            <w:tcW w:type="dxa" w:w="1728"/>
          </w:tcPr>
          <w:p>
            <w:r>
              <w:t>Имя, номер телефона, email, текст обращения</w:t>
            </w:r>
          </w:p>
        </w:tc>
        <w:tc>
          <w:tcPr>
            <w:tcW w:type="dxa" w:w="1728"/>
          </w:tcPr>
          <w:p>
            <w:r>
              <w:t>Согласие</w:t>
            </w:r>
          </w:p>
        </w:tc>
        <w:tc>
          <w:tcPr>
            <w:tcW w:type="dxa" w:w="1728"/>
          </w:tcPr>
          <w:p>
            <w:r>
              <w:t>[срок, например 1 год с даты обращения] или до отзыва согласия</w:t>
            </w:r>
          </w:p>
        </w:tc>
      </w:tr>
      <w:tr>
        <w:tc>
          <w:tcPr>
            <w:tcW w:type="dxa" w:w="1728"/>
          </w:tcPr>
          <w:p>
            <w:r>
              <w:t>Заключение и исполнение договоров</w:t>
            </w:r>
          </w:p>
        </w:tc>
        <w:tc>
          <w:tcPr>
            <w:tcW w:type="dxa" w:w="1728"/>
          </w:tcPr>
          <w:p>
            <w:r>
              <w:t>Клиенты и их представители</w:t>
            </w:r>
          </w:p>
        </w:tc>
        <w:tc>
          <w:tcPr>
            <w:tcW w:type="dxa" w:w="1728"/>
          </w:tcPr>
          <w:p>
            <w:r>
              <w:t>ФИО, телефон, email, [реквизиты, адрес доставки]</w:t>
            </w:r>
          </w:p>
        </w:tc>
        <w:tc>
          <w:tcPr>
            <w:tcW w:type="dxa" w:w="1728"/>
          </w:tcPr>
          <w:p>
            <w:r>
              <w:t>Договор</w:t>
            </w:r>
          </w:p>
        </w:tc>
        <w:tc>
          <w:tcPr>
            <w:tcW w:type="dxa" w:w="1728"/>
          </w:tcPr>
          <w:p>
            <w:r>
              <w:t>Срок действия договора и [срок хранения документов по закону]</w:t>
            </w:r>
          </w:p>
        </w:tc>
      </w:tr>
      <w:tr>
        <w:tc>
          <w:tcPr>
            <w:tcW w:type="dxa" w:w="1728"/>
          </w:tcPr>
          <w:p>
            <w:r>
              <w:t>Рекламная и информационная рассылка</w:t>
            </w:r>
          </w:p>
        </w:tc>
        <w:tc>
          <w:tcPr>
            <w:tcW w:type="dxa" w:w="1728"/>
          </w:tcPr>
          <w:p>
            <w:r>
              <w:t>Подписчики</w:t>
            </w:r>
          </w:p>
        </w:tc>
        <w:tc>
          <w:tcPr>
            <w:tcW w:type="dxa" w:w="1728"/>
          </w:tcPr>
          <w:p>
            <w:r>
              <w:t>Имя, email, [телефон]</w:t>
            </w:r>
          </w:p>
        </w:tc>
        <w:tc>
          <w:tcPr>
            <w:tcW w:type="dxa" w:w="1728"/>
          </w:tcPr>
          <w:p>
            <w:r>
              <w:t>Отдельное согласие на рассылку (ч. 1 ст. 18 38-ФЗ)</w:t>
            </w:r>
          </w:p>
        </w:tc>
        <w:tc>
          <w:tcPr>
            <w:tcW w:type="dxa" w:w="1728"/>
          </w:tcPr>
          <w:p>
            <w:r>
              <w:t>До отзыва согласия</w:t>
            </w:r>
          </w:p>
        </w:tc>
      </w:tr>
      <w:tr>
        <w:tc>
          <w:tcPr>
            <w:tcW w:type="dxa" w:w="1728"/>
          </w:tcPr>
          <w:p>
            <w:r>
              <w:t>Анализ посещаемости и улучшение Сайта</w:t>
            </w:r>
          </w:p>
        </w:tc>
        <w:tc>
          <w:tcPr>
            <w:tcW w:type="dxa" w:w="1728"/>
          </w:tcPr>
          <w:p>
            <w:r>
              <w:t>Посетители Сайта</w:t>
            </w:r>
          </w:p>
        </w:tc>
        <w:tc>
          <w:tcPr>
            <w:tcW w:type="dxa" w:w="1728"/>
          </w:tcPr>
          <w:p>
            <w:r>
              <w:t>Cookie, IP-адрес, сведения о браузере и устройстве, действия на Сайте</w:t>
            </w:r>
          </w:p>
        </w:tc>
        <w:tc>
          <w:tcPr>
            <w:tcW w:type="dxa" w:w="1728"/>
          </w:tcPr>
          <w:p>
            <w:r>
              <w:t>Согласие (баннер cookie)</w:t>
            </w:r>
          </w:p>
        </w:tc>
        <w:tc>
          <w:tcPr>
            <w:tcW w:type="dxa" w:w="1728"/>
          </w:tcPr>
          <w:p>
            <w:r>
              <w:t>[срок хранения в метрической программе]</w:t>
            </w:r>
          </w:p>
        </w:tc>
      </w:tr>
    </w:tbl>
    <w:p/>
    <w:p>
      <w:r>
        <w:t>4.2. Оператор не обрабатывает специальные категории персональных данных (о здоровье, расовой принадлежности, политических взглядах и др.) и биометрические персональные данные. [Если обрабатывает — опишите случаи отдельно.]</w:t>
      </w:r>
    </w:p>
    <w:p>
      <w:pPr>
        <w:pStyle w:val="Heading2"/>
      </w:pPr>
      <w:r>
        <w:t>5. Порядок и условия обработки</w:t>
      </w:r>
    </w:p>
    <w:p>
      <w:r>
        <w:t>5.1. Обработка осуществляется с использованием средств автоматизации и без них (смешанная обработка). Перечень действий — указан в разделе 2.</w:t>
      </w:r>
    </w:p>
    <w:p>
      <w:r>
        <w:t>5.2. Оператор вправе поручить обработку другому лицу на основании договора (ч. 3 ст. 6 Закона): [перечень, например: хостинг-провайдер, CRM-система, служба доставки — наименование и адрес]. Такие лица обязаны соблюдать конфиденциальность и требования Закона.</w:t>
      </w:r>
    </w:p>
    <w:p>
      <w:r>
        <w:t>5.3. При сборе персональных данных граждан РФ их запись, систематизация, накопление, хранение, уточнение и извлечение осуществляются с использованием баз данных, находящихся на территории РФ (ч. 5 ст. 18 Закона).</w:t>
      </w:r>
    </w:p>
    <w:p>
      <w:r>
        <w:t>5.4. Трансграничная передача персональных данных [не осуществляется / осуществляется в [страна] для [цель] — после уведомления Роскомнадзора в порядке ст. 12 Закона].</w:t>
      </w:r>
    </w:p>
    <w:p>
      <w:pPr>
        <w:pStyle w:val="Heading2"/>
      </w:pPr>
      <w:r>
        <w:t>6. Прекращение обработки и уничтожение данных</w:t>
      </w:r>
    </w:p>
    <w:p>
      <w:r>
        <w:t>6.1. При достижении целей обработки или в случае утраты необходимости в их достижении Оператор прекращает обработку и уничтожает персональные данные в срок, не превышающий 30 дней (ч. 4 ст. 21 Закона), если иное не предусмотрено договором или законом.</w:t>
      </w:r>
    </w:p>
    <w:p>
      <w:r>
        <w:t>6.2. При отзыве согласия Оператор прекращает обработку и, если сохранение данных более не требуется, уничтожает их в срок, не превышающий 30 дней с даты поступления отзыва (ч. 5 ст. 21 Закона).</w:t>
      </w:r>
    </w:p>
    <w:p>
      <w:pPr>
        <w:pStyle w:val="Heading2"/>
      </w:pPr>
      <w:r>
        <w:t>7. Cookie и метрические программы</w:t>
      </w:r>
    </w:p>
    <w:p>
      <w:r>
        <w:t>7.1. Сайт использует cookie и метрическую программу [Яндекс Метрика / иное] для анализа посещаемости. Аналитические и рекламные cookie подключаются только после согласия Пользователя в баннере. Подробнее — в Политике использования cookie: [ссылка].</w:t>
      </w:r>
    </w:p>
    <w:p>
      <w:pPr>
        <w:pStyle w:val="Heading2"/>
      </w:pPr>
      <w:r>
        <w:t>8. Права субъекта персональных данных</w:t>
      </w:r>
    </w:p>
    <w:p>
      <w:pPr>
        <w:pStyle w:val="ListBullet"/>
      </w:pPr>
      <w:r>
        <w:t>получать информацию об обработке своих персональных данных (ч. 7 ст. 14 Закона);</w:t>
      </w:r>
    </w:p>
    <w:p>
      <w:pPr>
        <w:pStyle w:val="ListBullet"/>
      </w:pPr>
      <w:r>
        <w:t>требовать уточнения, блокирования или уничтожения данных, если они неполные, устаревшие, неточные, незаконно полученные или не нужны для заявленной цели;</w:t>
      </w:r>
    </w:p>
    <w:p>
      <w:pPr>
        <w:pStyle w:val="ListBullet"/>
      </w:pPr>
      <w:r>
        <w:t>отозвать согласие на обработку персональных данных;</w:t>
      </w:r>
    </w:p>
    <w:p>
      <w:pPr>
        <w:pStyle w:val="ListBullet"/>
      </w:pPr>
      <w:r>
        <w:t>обжаловать действия Оператора в Роскомнадзор или в суд.</w:t>
      </w:r>
    </w:p>
    <w:p>
      <w:r>
        <w:t>8.2. Запросы направляются по адресу [email] или почтой по адресу [адрес]. Оператор отвечает в течение 10 рабочих дней с даты получения запроса; срок может быть продлен не более чем на 5 рабочих дней с уведомлением о причинах (ч. 1 ст. 20 Закона).</w:t>
      </w:r>
    </w:p>
    <w:p>
      <w:pPr>
        <w:pStyle w:val="Heading2"/>
      </w:pPr>
      <w:r>
        <w:t>9. Меры по защите персональных данных</w:t>
      </w:r>
    </w:p>
    <w:p>
      <w:pPr>
        <w:pStyle w:val="ListBullet"/>
      </w:pPr>
      <w:r>
        <w:t>назначение лица, ответственного за организацию обработки персональных данных (ст. 22.1 Закона): [ФИО, должность, контакт];</w:t>
      </w:r>
    </w:p>
    <w:p>
      <w:pPr>
        <w:pStyle w:val="ListBullet"/>
      </w:pPr>
      <w:r>
        <w:t>издание локальных актов по вопросам обработки персональных данных;</w:t>
      </w:r>
    </w:p>
    <w:p>
      <w:pPr>
        <w:pStyle w:val="ListBullet"/>
      </w:pPr>
      <w:r>
        <w:t>ограничение доступа к данным, учет машинных носителей, использование средств защиты информации;</w:t>
      </w:r>
    </w:p>
    <w:p>
      <w:pPr>
        <w:pStyle w:val="ListBullet"/>
      </w:pPr>
      <w:r>
        <w:t>передача данных с Сайта по защищенному протоколу HTTPS;</w:t>
      </w:r>
    </w:p>
    <w:p>
      <w:pPr>
        <w:pStyle w:val="ListBullet"/>
      </w:pPr>
      <w:r>
        <w:t>обучение и ознакомление работников с требованиями Закона.</w:t>
      </w:r>
    </w:p>
    <w:p>
      <w:pPr>
        <w:pStyle w:val="Heading2"/>
      </w:pPr>
      <w:r>
        <w:t>10. Заключительные положения</w:t>
      </w:r>
    </w:p>
    <w:p>
      <w:r>
        <w:t>10.1. Оператор вправе изменять Политику. Новая редакция вступает в силу с момента публикации на Сайте. Действующая редакция всегда доступна по адресу [ссылка].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